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44" w:rsidRDefault="003F3444" w:rsidP="003F3444">
      <w:pPr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  <w:r w:rsidRPr="003F3444">
        <w:rPr>
          <w:rFonts w:ascii="Bookman Old Style" w:hAnsi="Bookman Old Style"/>
          <w:b/>
          <w:sz w:val="28"/>
          <w:szCs w:val="28"/>
          <w:shd w:val="clear" w:color="auto" w:fill="FFFFFF"/>
        </w:rPr>
        <w:t xml:space="preserve">Рекомендации работодателям в отношении применения (распространения) на работников режима нерабочих дней с 30 марта по 3 апреля 2020 года, одобренные по итогам заседания оперативного штаба по предупреждению завоза и распространения новой </w:t>
      </w:r>
      <w:proofErr w:type="spellStart"/>
      <w:r w:rsidRPr="003F3444">
        <w:rPr>
          <w:rFonts w:ascii="Bookman Old Style" w:hAnsi="Bookman Old Style"/>
          <w:b/>
          <w:sz w:val="28"/>
          <w:szCs w:val="28"/>
          <w:shd w:val="clear" w:color="auto" w:fill="FFFFFF"/>
        </w:rPr>
        <w:t>коронавирусной</w:t>
      </w:r>
      <w:proofErr w:type="spellEnd"/>
      <w:r w:rsidRPr="003F3444">
        <w:rPr>
          <w:rFonts w:ascii="Bookman Old Style" w:hAnsi="Bookman Old Style"/>
          <w:b/>
          <w:sz w:val="28"/>
          <w:szCs w:val="28"/>
          <w:shd w:val="clear" w:color="auto" w:fill="FFFFFF"/>
        </w:rPr>
        <w:t xml:space="preserve"> инфекции на территории Российской Федерации 26.03.2020.</w:t>
      </w:r>
    </w:p>
    <w:p w:rsidR="003F3444" w:rsidRPr="003F3444" w:rsidRDefault="003F3444" w:rsidP="003F3444">
      <w:pPr>
        <w:shd w:val="clear" w:color="auto" w:fill="FFFFFF"/>
        <w:spacing w:before="240"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1.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В соответствии с Указом Президента Российской Федерации от 25 марта 2020 г. № 206 «Об объявлении в Российской Федерации нерабочих дней» (далее – Указ) с 30 марта по 3 апреля 2020 года установлены нерабочие дни с сохранением за работниками заработной платы.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Таким образом, наличие в календарном месяце (март, апрель 2020 года) нерабочих дней не является основанием для снижения заработной платы работникам.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В этих</w:t>
      </w:r>
      <w:bookmarkStart w:id="0" w:name="_GoBack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</w:t>
      </w:r>
      <w:bookmarkEnd w:id="0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расходам на оплату труда в полном размере.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2.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Если работник находится в отпуске, то нерабочие дни с 30 марта по 3 апреля 2020 года в число дней отпуска не включаются и отпуск на эти дни не продлевается.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3.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Нерабочий день не относится к выходным или нерабочим праздничным дням, поэтому оплата производится в обычном, а не повышенном размере.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4.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Введение нерабочих дней в соответствии с Указом не распространяется на работников организаций, упомянутых в пункте 2 Указа, в частности:</w:t>
      </w:r>
    </w:p>
    <w:p w:rsidR="003F3444" w:rsidRPr="003F3444" w:rsidRDefault="003F3444" w:rsidP="003F34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медицинских и аптечных организаций, организаций, обеспечивающих непрерывность их производственно-технологической деятельности, а также организаций социального обслуживания;</w:t>
      </w:r>
    </w:p>
    <w:p w:rsidR="003F3444" w:rsidRPr="003F3444" w:rsidRDefault="003F3444" w:rsidP="003F34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непрерывно действующих организаций, в которых невозможна приостановка деятельности по производственно-техническим условиям. </w:t>
      </w:r>
      <w:proofErr w:type="gram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Кроме того, организаций в сфере энергетики, теплоснабжения, водоподготовки, </w:t>
      </w:r>
      <w:proofErr w:type="spell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водоотчистки</w:t>
      </w:r>
      <w:proofErr w:type="spellEnd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и водоотведения; эксплуатирующих опасные производственные 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lastRenderedPageBreak/>
        <w:t>объекты и в отношении которых действует режим постоянного государственного контроля (надзора) в области промышленной безопасности; организаций, эксплуатирующих гидротехнические сооружения; организаций атомной промышленности; строительных организаций, приостановка деятельности которых создаст угрозу безопасности, здоровью и жизни людей; организаций сельскохозяйственной отрасли, занятых на весенних полевых работах;</w:t>
      </w:r>
      <w:proofErr w:type="gramEnd"/>
    </w:p>
    <w:p w:rsidR="003F3444" w:rsidRPr="003F3444" w:rsidRDefault="003F3444" w:rsidP="003F34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организаций, обеспечивающих население продуктами питания и товарами первой необходимости; организаций, которые в целях обеспечения населения продуктами питания и товарами первой необходимости оказывают складские услуги, транспортно-логистические услуги; организаций торговли;</w:t>
      </w:r>
    </w:p>
    <w:p w:rsidR="003F3444" w:rsidRPr="003F3444" w:rsidRDefault="003F3444" w:rsidP="003F34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proofErr w:type="gram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организаций, выполняющих неотложные работы в условиях чрезвычайных обстоятельств, в иных случаях, ставящих под угрозу жизнь и нормальные жизненные условия населения, в том числе предприятий, выпускающих средства индивидуальной защиты, дезинфицирующие средства, лекарственные средства, медицинские изделия, </w:t>
      </w:r>
      <w:proofErr w:type="spell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теплотелевизионные</w:t>
      </w:r>
      <w:proofErr w:type="spellEnd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регистраторы, бесконтактные термометры и установки обеззараживания воздуха, а также предприятий, выпускающих материалы, сырье и комплектующие изделия, необходимые для их производства;</w:t>
      </w:r>
      <w:proofErr w:type="gramEnd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организаций, деятельность которых связана с защитой здоровья населения и предотвращением распространения новой </w:t>
      </w:r>
      <w:proofErr w:type="spell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 инфекции; организаций в сфере обращения с отходами производства и потребления; организаций, осуществляющих жилищно-коммунальное обслуживание населения; организаций системы нефтепродуктообеспечения; организаций, предоставляющих финансовые услуги в части неотложных функций; организаций, осуществляющих транспортное обслуживание населения; организаций, осуществляющих неотложные ремонтные и </w:t>
      </w:r>
      <w:proofErr w:type="gram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погрузочно- разгрузочные</w:t>
      </w:r>
      <w:proofErr w:type="gramEnd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работы;</w:t>
      </w:r>
    </w:p>
    <w:p w:rsidR="003F3444" w:rsidRPr="003F3444" w:rsidRDefault="003F3444" w:rsidP="003F34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Пенсионного фонда Российской Федерации и его территориальных органов, обеспечивающих выплату пенсий, а также осуществление иных социальных выплат гражданам;</w:t>
      </w:r>
    </w:p>
    <w:p w:rsidR="003F3444" w:rsidRPr="003F3444" w:rsidRDefault="003F3444" w:rsidP="003F34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Фонда социального страхования Российской Федерации и его территориальных органов, обеспечивающих организацию и осуществление выплат по обязательному страхованию на случай временной нетрудоспособности и в связи с материнством, а также в связи с несчастным случаем на производстве или профессиональным заболеванием;</w:t>
      </w:r>
    </w:p>
    <w:p w:rsidR="003F3444" w:rsidRPr="003F3444" w:rsidRDefault="003F3444" w:rsidP="003F344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lastRenderedPageBreak/>
        <w:t>Федерального фонда обязательного медицинского страхования и территориальных фондов обязательного медицинского страхования, выполняющих функции по обеспечению оплаты медицинским организациям оказанной медицинской помощи.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5.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Вопросы, связанные с прекращением работы работников, работающих вахтовым методом, на которых распространяется действие Указа, решаются по соглашению сторон трудовых отношений.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6.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 Работники органов (организаций), перечисленных в пункте 2 - 5 Указа,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инфекции, изданными Минздравом России и </w:t>
      </w:r>
      <w:proofErr w:type="spell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Роспотребнадзором</w:t>
      </w:r>
      <w:proofErr w:type="spellEnd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. Кроме того, вышеуказанные работники по соглашению с работодателем могут работать удаленно (дистанционно), если служебные обязанности и организационно-технические условия работы это позволяют.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7.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</w:t>
      </w:r>
      <w:proofErr w:type="gramStart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Руководители федеральных государственных органов, органов государственной власти субъектов Российской Федерации и органов местного самоуправления, а также руководители организаций, осуществляющих производство и выпуск СМИ, самостоятельно определяют численность служащих и работников, которые будут обеспечивать функционирование этих органов (организаций), включая возможность работы дистанционно, а также численность служащих и работников, для которых вводятся нерабочие дни.</w:t>
      </w:r>
      <w:proofErr w:type="gramEnd"/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 xml:space="preserve"> Указанные решения оформляются приказом (распоряжением) соответствующего органа, локальным нормативным актом организации.</w:t>
      </w:r>
    </w:p>
    <w:p w:rsidR="003F3444" w:rsidRPr="003F3444" w:rsidRDefault="003F3444" w:rsidP="003F3444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3F3444">
        <w:rPr>
          <w:rFonts w:ascii="Bookman Old Style" w:eastAsia="Times New Roman" w:hAnsi="Bookman Old Style" w:cs="Times New Roman"/>
          <w:b/>
          <w:bCs/>
          <w:color w:val="333333"/>
          <w:sz w:val="24"/>
          <w:szCs w:val="24"/>
          <w:lang w:eastAsia="ru-RU"/>
        </w:rPr>
        <w:t>8.</w:t>
      </w:r>
      <w:r w:rsidRPr="003F3444">
        <w:rPr>
          <w:rFonts w:ascii="Bookman Old Style" w:eastAsia="Times New Roman" w:hAnsi="Bookman Old Style" w:cs="Times New Roman"/>
          <w:color w:val="333333"/>
          <w:sz w:val="24"/>
          <w:szCs w:val="24"/>
          <w:lang w:eastAsia="ru-RU"/>
        </w:rPr>
        <w:t> Руководители организаций, на которые распространяется режим нерабочих дней с 30 марта по 3 апреля 2020 года,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</w:t>
      </w:r>
      <w:r w:rsidRPr="003F3444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</w:t>
      </w:r>
    </w:p>
    <w:p w:rsidR="003F3444" w:rsidRPr="003F3444" w:rsidRDefault="003F3444" w:rsidP="003F3444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FE10CE" w:rsidRDefault="003F3444"/>
    <w:sectPr w:rsidR="00FE10C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F9" w:rsidRDefault="00B42DF9" w:rsidP="00B42DF9">
      <w:pPr>
        <w:spacing w:after="0" w:line="240" w:lineRule="auto"/>
      </w:pPr>
      <w:r>
        <w:separator/>
      </w:r>
    </w:p>
  </w:endnote>
  <w:endnote w:type="continuationSeparator" w:id="0">
    <w:p w:rsidR="00B42DF9" w:rsidRDefault="00B42DF9" w:rsidP="00B42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F9" w:rsidRDefault="00B42DF9" w:rsidP="00B42DF9">
      <w:pPr>
        <w:spacing w:after="0" w:line="240" w:lineRule="auto"/>
      </w:pPr>
      <w:r>
        <w:separator/>
      </w:r>
    </w:p>
  </w:footnote>
  <w:footnote w:type="continuationSeparator" w:id="0">
    <w:p w:rsidR="00B42DF9" w:rsidRDefault="00B42DF9" w:rsidP="00B42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435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8"/>
      <w:gridCol w:w="7668"/>
    </w:tblGrid>
    <w:tr w:rsidR="00B42DF9" w:rsidTr="00B42DF9">
      <w:tc>
        <w:tcPr>
          <w:tcW w:w="2321" w:type="dxa"/>
        </w:tcPr>
        <w:p w:rsidR="00B42DF9" w:rsidRDefault="00B42DF9">
          <w:pPr>
            <w:pStyle w:val="a4"/>
          </w:pPr>
          <w:r>
            <w:rPr>
              <w:noProof/>
              <w:lang w:eastAsia="ru-RU"/>
            </w:rPr>
            <w:drawing>
              <wp:inline distT="0" distB="0" distL="0" distR="0" wp14:anchorId="357840E1" wp14:editId="615DCD61">
                <wp:extent cx="1649291" cy="352425"/>
                <wp:effectExtent l="0" t="0" r="825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ZT8Dz2PpD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262" cy="3541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4" w:type="dxa"/>
        </w:tcPr>
        <w:p w:rsidR="00B42DF9" w:rsidRPr="00B42DF9" w:rsidRDefault="00B42DF9" w:rsidP="00B42DF9">
          <w:pPr>
            <w:pStyle w:val="a4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B42DF9">
            <w:rPr>
              <w:rFonts w:ascii="Bookman Old Style" w:hAnsi="Bookman Old Style"/>
              <w:b/>
              <w:sz w:val="24"/>
              <w:szCs w:val="24"/>
            </w:rPr>
            <w:t>Общество с ограниченной ответственностью «Документ-Центр»</w:t>
          </w:r>
        </w:p>
        <w:p w:rsidR="00B42DF9" w:rsidRPr="00B42DF9" w:rsidRDefault="00B42DF9" w:rsidP="00B42DF9">
          <w:pPr>
            <w:pStyle w:val="a4"/>
            <w:jc w:val="center"/>
            <w:rPr>
              <w:rFonts w:ascii="Bookman Old Style" w:hAnsi="Bookman Old Style"/>
              <w:b/>
              <w:sz w:val="24"/>
              <w:szCs w:val="24"/>
            </w:rPr>
          </w:pPr>
          <w:r w:rsidRPr="00B42DF9">
            <w:rPr>
              <w:rFonts w:ascii="Bookman Old Style" w:hAnsi="Bookman Old Style"/>
              <w:b/>
              <w:sz w:val="24"/>
              <w:szCs w:val="24"/>
            </w:rPr>
            <w:t>ИНН 2901244020</w:t>
          </w:r>
        </w:p>
        <w:tbl>
          <w:tblPr>
            <w:tblW w:w="7557" w:type="dxa"/>
            <w:tblBorders>
              <w:top w:val="nil"/>
              <w:left w:val="nil"/>
              <w:bottom w:val="nil"/>
              <w:right w:val="nil"/>
            </w:tblBorders>
            <w:tblLook w:val="0000" w:firstRow="0" w:lastRow="0" w:firstColumn="0" w:lastColumn="0" w:noHBand="0" w:noVBand="0"/>
          </w:tblPr>
          <w:tblGrid>
            <w:gridCol w:w="7557"/>
          </w:tblGrid>
          <w:tr w:rsidR="00B42DF9" w:rsidTr="00B42DF9">
            <w:trPr>
              <w:trHeight w:val="787"/>
            </w:trPr>
            <w:tc>
              <w:tcPr>
                <w:tcW w:w="7557" w:type="dxa"/>
              </w:tcPr>
              <w:p w:rsidR="00B42DF9" w:rsidRPr="00B42DF9" w:rsidRDefault="00B42DF9">
                <w:pPr>
                  <w:pStyle w:val="Default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 xml:space="preserve">Адрес: </w:t>
                </w:r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163000 г. Архангельск </w:t>
                </w:r>
                <w:proofErr w:type="spellStart"/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>пр-кт</w:t>
                </w:r>
                <w:proofErr w:type="spellEnd"/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 Новгородский д. 32 подъезд</w:t>
                </w:r>
                <w:proofErr w:type="gramStart"/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 В</w:t>
                </w:r>
                <w:proofErr w:type="gramEnd"/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 оф. 1 (3 этаж) </w:t>
                </w:r>
              </w:p>
              <w:p w:rsidR="00B42DF9" w:rsidRPr="00B42DF9" w:rsidRDefault="00B42DF9">
                <w:pPr>
                  <w:pStyle w:val="Default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 xml:space="preserve">Телефон: </w:t>
                </w:r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 xml:space="preserve">8-902-2867150 </w:t>
                </w:r>
              </w:p>
              <w:p w:rsidR="00B42DF9" w:rsidRDefault="00B42DF9">
                <w:pPr>
                  <w:pStyle w:val="Default"/>
                  <w:rPr>
                    <w:sz w:val="23"/>
                    <w:szCs w:val="23"/>
                  </w:rPr>
                </w:pPr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>E-</w:t>
                </w:r>
                <w:proofErr w:type="spellStart"/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>mail</w:t>
                </w:r>
                <w:proofErr w:type="spellEnd"/>
                <w:r w:rsidRPr="00B42DF9">
                  <w:rPr>
                    <w:rFonts w:ascii="Bookman Old Style" w:hAnsi="Bookman Old Style"/>
                    <w:b/>
                    <w:bCs/>
                    <w:sz w:val="18"/>
                    <w:szCs w:val="18"/>
                  </w:rPr>
                  <w:t xml:space="preserve">: </w:t>
                </w:r>
                <w:r w:rsidRPr="00B42DF9">
                  <w:rPr>
                    <w:rFonts w:ascii="Bookman Old Style" w:hAnsi="Bookman Old Style"/>
                    <w:sz w:val="18"/>
                    <w:szCs w:val="18"/>
                  </w:rPr>
                  <w:t>dokument@doc-centr.ru</w:t>
                </w:r>
                <w:r>
                  <w:rPr>
                    <w:sz w:val="23"/>
                    <w:szCs w:val="23"/>
                  </w:rPr>
                  <w:t xml:space="preserve"> </w:t>
                </w:r>
              </w:p>
            </w:tc>
          </w:tr>
        </w:tbl>
        <w:p w:rsidR="00B42DF9" w:rsidRPr="00B42DF9" w:rsidRDefault="00B42DF9" w:rsidP="00B42DF9">
          <w:pPr>
            <w:pStyle w:val="a4"/>
            <w:jc w:val="center"/>
            <w:rPr>
              <w:rFonts w:ascii="Bookman Old Style" w:hAnsi="Bookman Old Style"/>
              <w:sz w:val="24"/>
              <w:szCs w:val="24"/>
            </w:rPr>
          </w:pPr>
        </w:p>
      </w:tc>
    </w:tr>
  </w:tbl>
  <w:p w:rsidR="00B42DF9" w:rsidRDefault="00B42D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A7648"/>
    <w:multiLevelType w:val="multilevel"/>
    <w:tmpl w:val="0419001D"/>
    <w:styleLink w:val="a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B7F0068"/>
    <w:multiLevelType w:val="multilevel"/>
    <w:tmpl w:val="6514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D2"/>
    <w:rsid w:val="00202AF4"/>
    <w:rsid w:val="003F3444"/>
    <w:rsid w:val="00694AD5"/>
    <w:rsid w:val="006958D2"/>
    <w:rsid w:val="00A56BAA"/>
    <w:rsid w:val="00B42DF9"/>
    <w:rsid w:val="00C76E94"/>
    <w:rsid w:val="00D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4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A56BAA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B4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42DF9"/>
  </w:style>
  <w:style w:type="paragraph" w:styleId="a6">
    <w:name w:val="footer"/>
    <w:basedOn w:val="a0"/>
    <w:link w:val="a7"/>
    <w:uiPriority w:val="99"/>
    <w:unhideWhenUsed/>
    <w:rsid w:val="00B4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42DF9"/>
  </w:style>
  <w:style w:type="table" w:styleId="a8">
    <w:name w:val="Table Grid"/>
    <w:basedOn w:val="a2"/>
    <w:uiPriority w:val="59"/>
    <w:rsid w:val="00B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B4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2D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3F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3F34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F344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Мой"/>
    <w:uiPriority w:val="99"/>
    <w:rsid w:val="00A56BAA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B4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42DF9"/>
  </w:style>
  <w:style w:type="paragraph" w:styleId="a6">
    <w:name w:val="footer"/>
    <w:basedOn w:val="a0"/>
    <w:link w:val="a7"/>
    <w:uiPriority w:val="99"/>
    <w:unhideWhenUsed/>
    <w:rsid w:val="00B42D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42DF9"/>
  </w:style>
  <w:style w:type="table" w:styleId="a8">
    <w:name w:val="Table Grid"/>
    <w:basedOn w:val="a2"/>
    <w:uiPriority w:val="59"/>
    <w:rsid w:val="00B4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B42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42D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2D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0"/>
    <w:uiPriority w:val="99"/>
    <w:semiHidden/>
    <w:unhideWhenUsed/>
    <w:rsid w:val="003F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1"/>
    <w:uiPriority w:val="22"/>
    <w:qFormat/>
    <w:rsid w:val="003F3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Оля</cp:lastModifiedBy>
  <cp:revision>2</cp:revision>
  <dcterms:created xsi:type="dcterms:W3CDTF">2020-03-28T12:45:00Z</dcterms:created>
  <dcterms:modified xsi:type="dcterms:W3CDTF">2020-03-28T12:45:00Z</dcterms:modified>
</cp:coreProperties>
</file>